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E8EDB" w14:textId="7BFCCC83" w:rsidR="00AF11FD" w:rsidRDefault="00F63A72">
      <w:pPr>
        <w:pStyle w:val="Corpsdetexte"/>
        <w:spacing w:before="10"/>
        <w:rPr>
          <w:rFonts w:ascii="Times New Roman"/>
          <w:sz w:val="9"/>
        </w:rPr>
      </w:pPr>
      <w:r>
        <w:rPr>
          <w:noProof/>
          <w:color w:val="231F20"/>
        </w:rPr>
        <w:drawing>
          <wp:anchor distT="0" distB="0" distL="114300" distR="114300" simplePos="0" relativeHeight="251659264" behindDoc="0" locked="0" layoutInCell="1" allowOverlap="1" wp14:anchorId="6AB05264" wp14:editId="655E7E0C">
            <wp:simplePos x="0" y="0"/>
            <wp:positionH relativeFrom="column">
              <wp:posOffset>-166370</wp:posOffset>
            </wp:positionH>
            <wp:positionV relativeFrom="paragraph">
              <wp:posOffset>-395283</wp:posOffset>
            </wp:positionV>
            <wp:extent cx="7615451" cy="10762315"/>
            <wp:effectExtent l="0" t="0" r="5080" b="1270"/>
            <wp:wrapNone/>
            <wp:docPr id="1084100124" name="Image 1" descr="Une image contenant texte, capture d’écran, liv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00124" name="Image 1" descr="Une image contenant texte, capture d’écran, livre&#10;&#10;Description générée automatiquemen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615451" cy="10762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F7DAB7" w14:textId="77777777" w:rsidR="00AF11FD" w:rsidRDefault="00AF11FD" w:rsidP="00F63A72">
      <w:pPr>
        <w:spacing w:line="99" w:lineRule="exact"/>
        <w:rPr>
          <w:rFonts w:ascii="Arial"/>
          <w:sz w:val="10"/>
        </w:rPr>
        <w:sectPr w:rsidR="00AF11FD" w:rsidSect="00182353">
          <w:type w:val="continuous"/>
          <w:pgSz w:w="11910" w:h="16840"/>
          <w:pgMar w:top="500" w:right="80" w:bottom="0" w:left="220" w:header="720" w:footer="720" w:gutter="0"/>
          <w:cols w:num="2" w:space="720" w:equalWidth="0">
            <w:col w:w="10960" w:space="214"/>
            <w:col w:w="436"/>
          </w:cols>
        </w:sectPr>
      </w:pPr>
    </w:p>
    <w:p w14:paraId="458E7B51" w14:textId="34E1A943" w:rsidR="00AF11FD" w:rsidRDefault="0001355C">
      <w:pPr>
        <w:pStyle w:val="Titre4"/>
        <w:spacing w:before="101" w:line="232" w:lineRule="auto"/>
      </w:pPr>
      <w:r>
        <w:rPr>
          <w:noProof/>
        </w:rPr>
        <w:lastRenderedPageBreak/>
        <w:drawing>
          <wp:anchor distT="0" distB="0" distL="0" distR="0" simplePos="0" relativeHeight="251656192" behindDoc="0" locked="0" layoutInCell="1" allowOverlap="1" wp14:anchorId="4B3709E0" wp14:editId="1982C4BF">
            <wp:simplePos x="0" y="0"/>
            <wp:positionH relativeFrom="page">
              <wp:posOffset>211069</wp:posOffset>
            </wp:positionH>
            <wp:positionV relativeFrom="paragraph">
              <wp:posOffset>6300</wp:posOffset>
            </wp:positionV>
            <wp:extent cx="1386857" cy="1727998"/>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5" cstate="print"/>
                    <a:stretch>
                      <a:fillRect/>
                    </a:stretch>
                  </pic:blipFill>
                  <pic:spPr>
                    <a:xfrm>
                      <a:off x="0" y="0"/>
                      <a:ext cx="1386857" cy="1727998"/>
                    </a:xfrm>
                    <a:prstGeom prst="rect">
                      <a:avLst/>
                    </a:prstGeom>
                  </pic:spPr>
                </pic:pic>
              </a:graphicData>
            </a:graphic>
          </wp:anchor>
        </w:drawing>
      </w:r>
      <w:r>
        <w:rPr>
          <w:color w:val="231F20"/>
        </w:rPr>
        <w:t>Pour</w:t>
      </w:r>
      <w:r>
        <w:rPr>
          <w:color w:val="231F20"/>
          <w:spacing w:val="-8"/>
        </w:rPr>
        <w:t xml:space="preserve"> </w:t>
      </w:r>
      <w:r>
        <w:rPr>
          <w:color w:val="231F20"/>
        </w:rPr>
        <w:t>la</w:t>
      </w:r>
      <w:r>
        <w:rPr>
          <w:color w:val="231F20"/>
          <w:spacing w:val="-8"/>
        </w:rPr>
        <w:t xml:space="preserve"> </w:t>
      </w:r>
      <w:r>
        <w:rPr>
          <w:color w:val="231F20"/>
        </w:rPr>
        <w:t>CFDT,</w:t>
      </w:r>
      <w:r>
        <w:rPr>
          <w:color w:val="231F20"/>
          <w:spacing w:val="-8"/>
        </w:rPr>
        <w:t xml:space="preserve"> </w:t>
      </w:r>
      <w:r>
        <w:rPr>
          <w:color w:val="231F20"/>
        </w:rPr>
        <w:t>l’index</w:t>
      </w:r>
      <w:r>
        <w:rPr>
          <w:color w:val="231F20"/>
          <w:spacing w:val="-8"/>
        </w:rPr>
        <w:t xml:space="preserve"> </w:t>
      </w:r>
      <w:r>
        <w:rPr>
          <w:color w:val="231F20"/>
        </w:rPr>
        <w:t>égalité</w:t>
      </w:r>
      <w:r>
        <w:rPr>
          <w:color w:val="231F20"/>
          <w:spacing w:val="-8"/>
        </w:rPr>
        <w:t xml:space="preserve"> </w:t>
      </w:r>
      <w:r>
        <w:rPr>
          <w:color w:val="231F20"/>
        </w:rPr>
        <w:t>salariale</w:t>
      </w:r>
      <w:r>
        <w:rPr>
          <w:color w:val="231F20"/>
          <w:spacing w:val="-8"/>
        </w:rPr>
        <w:t xml:space="preserve"> </w:t>
      </w:r>
      <w:r>
        <w:rPr>
          <w:color w:val="231F20"/>
        </w:rPr>
        <w:t>est</w:t>
      </w:r>
      <w:r>
        <w:rPr>
          <w:color w:val="231F20"/>
          <w:spacing w:val="-8"/>
        </w:rPr>
        <w:t xml:space="preserve"> </w:t>
      </w:r>
      <w:r>
        <w:rPr>
          <w:color w:val="231F20"/>
        </w:rPr>
        <w:t>un</w:t>
      </w:r>
      <w:r>
        <w:rPr>
          <w:color w:val="231F20"/>
          <w:spacing w:val="-8"/>
        </w:rPr>
        <w:t xml:space="preserve"> </w:t>
      </w:r>
      <w:r>
        <w:rPr>
          <w:color w:val="231F20"/>
        </w:rPr>
        <w:t>outil</w:t>
      </w:r>
      <w:r>
        <w:rPr>
          <w:color w:val="231F20"/>
          <w:spacing w:val="-8"/>
        </w:rPr>
        <w:t xml:space="preserve"> </w:t>
      </w:r>
      <w:r>
        <w:rPr>
          <w:color w:val="231F20"/>
        </w:rPr>
        <w:t>qui</w:t>
      </w:r>
      <w:r>
        <w:rPr>
          <w:color w:val="231F20"/>
          <w:spacing w:val="-8"/>
        </w:rPr>
        <w:t xml:space="preserve"> </w:t>
      </w:r>
      <w:r>
        <w:rPr>
          <w:color w:val="231F20"/>
        </w:rPr>
        <w:t>pouvait</w:t>
      </w:r>
      <w:r>
        <w:rPr>
          <w:color w:val="231F20"/>
          <w:spacing w:val="-8"/>
        </w:rPr>
        <w:t xml:space="preserve"> </w:t>
      </w:r>
      <w:r>
        <w:rPr>
          <w:color w:val="231F20"/>
        </w:rPr>
        <w:t>permettre</w:t>
      </w:r>
      <w:r>
        <w:rPr>
          <w:color w:val="231F20"/>
          <w:spacing w:val="-8"/>
        </w:rPr>
        <w:t xml:space="preserve"> </w:t>
      </w:r>
      <w:r>
        <w:rPr>
          <w:color w:val="231F20"/>
        </w:rPr>
        <w:t>d’améliorer</w:t>
      </w:r>
      <w:r>
        <w:rPr>
          <w:color w:val="231F20"/>
          <w:spacing w:val="-12"/>
        </w:rPr>
        <w:t xml:space="preserve"> </w:t>
      </w:r>
      <w:r>
        <w:rPr>
          <w:color w:val="231F20"/>
        </w:rPr>
        <w:t>l’égalité</w:t>
      </w:r>
      <w:r>
        <w:rPr>
          <w:color w:val="231F20"/>
          <w:spacing w:val="-12"/>
        </w:rPr>
        <w:t xml:space="preserve"> </w:t>
      </w:r>
      <w:r>
        <w:rPr>
          <w:color w:val="231F20"/>
        </w:rPr>
        <w:t>salariale</w:t>
      </w:r>
      <w:r>
        <w:rPr>
          <w:color w:val="231F20"/>
          <w:spacing w:val="-12"/>
        </w:rPr>
        <w:t xml:space="preserve"> </w:t>
      </w:r>
      <w:r>
        <w:rPr>
          <w:color w:val="231F20"/>
        </w:rPr>
        <w:t>entre</w:t>
      </w:r>
      <w:r>
        <w:rPr>
          <w:color w:val="231F20"/>
          <w:spacing w:val="-12"/>
        </w:rPr>
        <w:t xml:space="preserve"> </w:t>
      </w:r>
      <w:r>
        <w:rPr>
          <w:color w:val="231F20"/>
        </w:rPr>
        <w:t>les</w:t>
      </w:r>
      <w:r>
        <w:rPr>
          <w:color w:val="231F20"/>
          <w:spacing w:val="-12"/>
        </w:rPr>
        <w:t xml:space="preserve"> </w:t>
      </w:r>
      <w:r>
        <w:rPr>
          <w:color w:val="231F20"/>
        </w:rPr>
        <w:t>femmes</w:t>
      </w:r>
      <w:r>
        <w:rPr>
          <w:color w:val="231F20"/>
          <w:spacing w:val="-12"/>
        </w:rPr>
        <w:t xml:space="preserve"> </w:t>
      </w:r>
      <w:r>
        <w:rPr>
          <w:color w:val="231F20"/>
        </w:rPr>
        <w:t>et</w:t>
      </w:r>
      <w:r>
        <w:rPr>
          <w:color w:val="231F20"/>
          <w:spacing w:val="-12"/>
        </w:rPr>
        <w:t xml:space="preserve"> </w:t>
      </w:r>
      <w:r>
        <w:rPr>
          <w:color w:val="231F20"/>
        </w:rPr>
        <w:t>les</w:t>
      </w:r>
      <w:r>
        <w:rPr>
          <w:color w:val="231F20"/>
          <w:spacing w:val="-12"/>
        </w:rPr>
        <w:t xml:space="preserve"> </w:t>
      </w:r>
      <w:r>
        <w:rPr>
          <w:color w:val="231F20"/>
        </w:rPr>
        <w:t>hommes,</w:t>
      </w:r>
      <w:r>
        <w:rPr>
          <w:color w:val="231F20"/>
          <w:spacing w:val="-12"/>
        </w:rPr>
        <w:t xml:space="preserve"> </w:t>
      </w:r>
      <w:r>
        <w:rPr>
          <w:color w:val="231F20"/>
        </w:rPr>
        <w:t>dans</w:t>
      </w:r>
      <w:r>
        <w:rPr>
          <w:color w:val="231F20"/>
          <w:spacing w:val="-12"/>
        </w:rPr>
        <w:t xml:space="preserve"> </w:t>
      </w:r>
      <w:r>
        <w:rPr>
          <w:color w:val="231F20"/>
        </w:rPr>
        <w:t>la</w:t>
      </w:r>
      <w:r>
        <w:rPr>
          <w:color w:val="231F20"/>
          <w:spacing w:val="-12"/>
        </w:rPr>
        <w:t xml:space="preserve"> </w:t>
      </w:r>
      <w:r>
        <w:rPr>
          <w:color w:val="231F20"/>
        </w:rPr>
        <w:t>mesure</w:t>
      </w:r>
      <w:r>
        <w:rPr>
          <w:color w:val="231F20"/>
          <w:spacing w:val="-12"/>
        </w:rPr>
        <w:t xml:space="preserve"> </w:t>
      </w:r>
      <w:r>
        <w:rPr>
          <w:color w:val="231F20"/>
        </w:rPr>
        <w:t>où</w:t>
      </w:r>
      <w:r>
        <w:rPr>
          <w:color w:val="231F20"/>
          <w:spacing w:val="-12"/>
        </w:rPr>
        <w:t xml:space="preserve"> </w:t>
      </w:r>
      <w:r>
        <w:rPr>
          <w:color w:val="231F20"/>
        </w:rPr>
        <w:t xml:space="preserve">tous les acteurs jouent le jeu. Force est de constater que ce </w:t>
      </w:r>
      <w:r>
        <w:rPr>
          <w:color w:val="231F20"/>
        </w:rPr>
        <w:t>n’est pas le cas.</w:t>
      </w:r>
    </w:p>
    <w:p w14:paraId="061DAE4B" w14:textId="786ED7EA" w:rsidR="00AF11FD" w:rsidRDefault="0001355C">
      <w:pPr>
        <w:spacing w:before="143" w:line="232" w:lineRule="auto"/>
        <w:ind w:left="2628" w:right="638"/>
        <w:jc w:val="both"/>
        <w:rPr>
          <w:b/>
          <w:sz w:val="24"/>
        </w:rPr>
      </w:pPr>
      <w:r>
        <w:rPr>
          <w:b/>
          <w:color w:val="231F20"/>
          <w:sz w:val="24"/>
        </w:rPr>
        <w:t>La</w:t>
      </w:r>
      <w:r>
        <w:rPr>
          <w:b/>
          <w:color w:val="231F20"/>
          <w:spacing w:val="-8"/>
          <w:sz w:val="24"/>
        </w:rPr>
        <w:t xml:space="preserve"> </w:t>
      </w:r>
      <w:r>
        <w:rPr>
          <w:b/>
          <w:color w:val="231F20"/>
          <w:sz w:val="24"/>
        </w:rPr>
        <w:t>CFDT</w:t>
      </w:r>
      <w:r>
        <w:rPr>
          <w:b/>
          <w:color w:val="231F20"/>
          <w:spacing w:val="-8"/>
          <w:sz w:val="24"/>
        </w:rPr>
        <w:t xml:space="preserve"> </w:t>
      </w:r>
      <w:r>
        <w:rPr>
          <w:b/>
          <w:color w:val="231F20"/>
          <w:sz w:val="24"/>
        </w:rPr>
        <w:t>ne</w:t>
      </w:r>
      <w:r>
        <w:rPr>
          <w:b/>
          <w:color w:val="231F20"/>
          <w:spacing w:val="-8"/>
          <w:sz w:val="24"/>
        </w:rPr>
        <w:t xml:space="preserve"> </w:t>
      </w:r>
      <w:r>
        <w:rPr>
          <w:b/>
          <w:color w:val="231F20"/>
          <w:sz w:val="24"/>
        </w:rPr>
        <w:t>considère</w:t>
      </w:r>
      <w:r>
        <w:rPr>
          <w:b/>
          <w:color w:val="231F20"/>
          <w:spacing w:val="-8"/>
          <w:sz w:val="24"/>
        </w:rPr>
        <w:t xml:space="preserve"> </w:t>
      </w:r>
      <w:r>
        <w:rPr>
          <w:b/>
          <w:color w:val="231F20"/>
          <w:sz w:val="24"/>
        </w:rPr>
        <w:t>pas</w:t>
      </w:r>
      <w:r>
        <w:rPr>
          <w:b/>
          <w:color w:val="231F20"/>
          <w:spacing w:val="-8"/>
          <w:sz w:val="24"/>
        </w:rPr>
        <w:t xml:space="preserve"> </w:t>
      </w:r>
      <w:r>
        <w:rPr>
          <w:b/>
          <w:color w:val="231F20"/>
          <w:sz w:val="24"/>
        </w:rPr>
        <w:t>qu’une</w:t>
      </w:r>
      <w:r>
        <w:rPr>
          <w:b/>
          <w:color w:val="231F20"/>
          <w:spacing w:val="-8"/>
          <w:sz w:val="24"/>
        </w:rPr>
        <w:t xml:space="preserve"> </w:t>
      </w:r>
      <w:r>
        <w:rPr>
          <w:b/>
          <w:color w:val="231F20"/>
          <w:sz w:val="24"/>
        </w:rPr>
        <w:t>note</w:t>
      </w:r>
      <w:r>
        <w:rPr>
          <w:b/>
          <w:color w:val="231F20"/>
          <w:spacing w:val="-8"/>
          <w:sz w:val="24"/>
        </w:rPr>
        <w:t xml:space="preserve"> </w:t>
      </w:r>
      <w:r>
        <w:rPr>
          <w:b/>
          <w:color w:val="231F20"/>
          <w:sz w:val="24"/>
        </w:rPr>
        <w:t>au-dessus</w:t>
      </w:r>
      <w:r>
        <w:rPr>
          <w:b/>
          <w:color w:val="231F20"/>
          <w:spacing w:val="-8"/>
          <w:sz w:val="24"/>
        </w:rPr>
        <w:t xml:space="preserve"> </w:t>
      </w:r>
      <w:r>
        <w:rPr>
          <w:b/>
          <w:color w:val="231F20"/>
          <w:sz w:val="24"/>
        </w:rPr>
        <w:t>de</w:t>
      </w:r>
      <w:r>
        <w:rPr>
          <w:b/>
          <w:color w:val="231F20"/>
          <w:spacing w:val="-8"/>
          <w:sz w:val="24"/>
        </w:rPr>
        <w:t xml:space="preserve"> </w:t>
      </w:r>
      <w:r>
        <w:rPr>
          <w:b/>
          <w:color w:val="231F20"/>
          <w:sz w:val="24"/>
        </w:rPr>
        <w:t>75</w:t>
      </w:r>
      <w:r>
        <w:rPr>
          <w:b/>
          <w:color w:val="231F20"/>
          <w:spacing w:val="-8"/>
          <w:sz w:val="24"/>
        </w:rPr>
        <w:t xml:space="preserve"> </w:t>
      </w:r>
      <w:r>
        <w:rPr>
          <w:b/>
          <w:color w:val="231F20"/>
          <w:sz w:val="24"/>
        </w:rPr>
        <w:t>soit</w:t>
      </w:r>
      <w:r>
        <w:rPr>
          <w:b/>
          <w:color w:val="231F20"/>
          <w:spacing w:val="-8"/>
          <w:sz w:val="24"/>
        </w:rPr>
        <w:t xml:space="preserve"> </w:t>
      </w:r>
      <w:r>
        <w:rPr>
          <w:b/>
          <w:color w:val="231F20"/>
          <w:sz w:val="24"/>
        </w:rPr>
        <w:t>un</w:t>
      </w:r>
      <w:r>
        <w:rPr>
          <w:b/>
          <w:color w:val="231F20"/>
          <w:spacing w:val="-8"/>
          <w:sz w:val="24"/>
        </w:rPr>
        <w:t xml:space="preserve"> </w:t>
      </w:r>
      <w:r>
        <w:rPr>
          <w:b/>
          <w:color w:val="231F20"/>
          <w:sz w:val="24"/>
        </w:rPr>
        <w:t>gage</w:t>
      </w:r>
      <w:r>
        <w:rPr>
          <w:b/>
          <w:color w:val="231F20"/>
          <w:spacing w:val="-8"/>
          <w:sz w:val="24"/>
        </w:rPr>
        <w:t xml:space="preserve"> </w:t>
      </w:r>
      <w:r>
        <w:rPr>
          <w:b/>
          <w:color w:val="231F20"/>
          <w:sz w:val="24"/>
        </w:rPr>
        <w:t xml:space="preserve">d’exemplarité absolue ni un encouragement à l’inertie en matière d’égalité salariale. En effet, une note globale satisfaisante peut masquer des réalités très </w:t>
      </w:r>
      <w:r>
        <w:rPr>
          <w:b/>
          <w:color w:val="231F20"/>
          <w:sz w:val="24"/>
        </w:rPr>
        <w:t>différentes et des situations très discriminantes.</w:t>
      </w:r>
    </w:p>
    <w:p w14:paraId="3BB41AE2" w14:textId="77777777" w:rsidR="00AF11FD" w:rsidRDefault="0001355C">
      <w:pPr>
        <w:pStyle w:val="Corpsdetexte"/>
        <w:spacing w:before="135"/>
        <w:ind w:left="2628" w:right="636"/>
        <w:jc w:val="both"/>
      </w:pPr>
      <w:r>
        <w:rPr>
          <w:b/>
          <w:color w:val="231F20"/>
        </w:rPr>
        <w:t>Maigre</w:t>
      </w:r>
      <w:r>
        <w:rPr>
          <w:b/>
          <w:color w:val="231F20"/>
          <w:spacing w:val="-2"/>
        </w:rPr>
        <w:t xml:space="preserve"> </w:t>
      </w:r>
      <w:r>
        <w:rPr>
          <w:b/>
          <w:color w:val="231F20"/>
        </w:rPr>
        <w:t>bénéfice</w:t>
      </w:r>
      <w:r>
        <w:rPr>
          <w:b/>
          <w:color w:val="231F20"/>
          <w:spacing w:val="-2"/>
        </w:rPr>
        <w:t xml:space="preserve"> </w:t>
      </w:r>
      <w:proofErr w:type="gramStart"/>
      <w:r>
        <w:rPr>
          <w:b/>
          <w:color w:val="231F20"/>
        </w:rPr>
        <w:t>suite</w:t>
      </w:r>
      <w:r>
        <w:rPr>
          <w:b/>
          <w:color w:val="231F20"/>
          <w:spacing w:val="-2"/>
        </w:rPr>
        <w:t xml:space="preserve"> </w:t>
      </w:r>
      <w:r>
        <w:rPr>
          <w:b/>
          <w:color w:val="231F20"/>
        </w:rPr>
        <w:t>à</w:t>
      </w:r>
      <w:proofErr w:type="gramEnd"/>
      <w:r>
        <w:rPr>
          <w:b/>
          <w:color w:val="231F20"/>
          <w:spacing w:val="-2"/>
        </w:rPr>
        <w:t xml:space="preserve"> </w:t>
      </w:r>
      <w:r>
        <w:rPr>
          <w:b/>
          <w:color w:val="231F20"/>
        </w:rPr>
        <w:t>l’INDEX</w:t>
      </w:r>
      <w:r>
        <w:rPr>
          <w:b/>
          <w:color w:val="231F20"/>
          <w:spacing w:val="-1"/>
        </w:rPr>
        <w:t xml:space="preserve"> </w:t>
      </w:r>
      <w:r>
        <w:rPr>
          <w:color w:val="231F20"/>
        </w:rPr>
        <w:t>:</w:t>
      </w:r>
      <w:r>
        <w:rPr>
          <w:color w:val="231F20"/>
          <w:spacing w:val="-3"/>
        </w:rPr>
        <w:t xml:space="preserve"> </w:t>
      </w:r>
      <w:r>
        <w:rPr>
          <w:color w:val="231F20"/>
        </w:rPr>
        <w:t>l’application</w:t>
      </w:r>
      <w:r>
        <w:rPr>
          <w:color w:val="231F20"/>
          <w:spacing w:val="-3"/>
        </w:rPr>
        <w:t xml:space="preserve"> </w:t>
      </w:r>
      <w:r>
        <w:rPr>
          <w:color w:val="231F20"/>
        </w:rPr>
        <w:t>enfin</w:t>
      </w:r>
      <w:r>
        <w:rPr>
          <w:color w:val="231F20"/>
          <w:spacing w:val="-3"/>
        </w:rPr>
        <w:t xml:space="preserve"> </w:t>
      </w:r>
      <w:r>
        <w:rPr>
          <w:color w:val="231F20"/>
        </w:rPr>
        <w:t>de</w:t>
      </w:r>
      <w:r>
        <w:rPr>
          <w:color w:val="231F20"/>
          <w:spacing w:val="-3"/>
        </w:rPr>
        <w:t xml:space="preserve"> </w:t>
      </w:r>
      <w:r>
        <w:rPr>
          <w:color w:val="231F20"/>
        </w:rPr>
        <w:t>la</w:t>
      </w:r>
      <w:r>
        <w:rPr>
          <w:color w:val="231F20"/>
          <w:spacing w:val="-3"/>
        </w:rPr>
        <w:t xml:space="preserve"> </w:t>
      </w:r>
      <w:r>
        <w:rPr>
          <w:color w:val="231F20"/>
        </w:rPr>
        <w:t>loi</w:t>
      </w:r>
      <w:r>
        <w:rPr>
          <w:color w:val="231F20"/>
          <w:spacing w:val="-3"/>
        </w:rPr>
        <w:t xml:space="preserve"> </w:t>
      </w:r>
      <w:r>
        <w:rPr>
          <w:color w:val="231F20"/>
        </w:rPr>
        <w:t>sur</w:t>
      </w:r>
      <w:r>
        <w:rPr>
          <w:color w:val="231F20"/>
          <w:spacing w:val="-3"/>
        </w:rPr>
        <w:t xml:space="preserve"> </w:t>
      </w:r>
      <w:r>
        <w:rPr>
          <w:color w:val="231F20"/>
        </w:rPr>
        <w:t>le</w:t>
      </w:r>
      <w:r>
        <w:rPr>
          <w:color w:val="231F20"/>
          <w:spacing w:val="-3"/>
        </w:rPr>
        <w:t xml:space="preserve"> </w:t>
      </w:r>
      <w:r>
        <w:rPr>
          <w:color w:val="231F20"/>
        </w:rPr>
        <w:t>retour</w:t>
      </w:r>
      <w:r>
        <w:rPr>
          <w:color w:val="231F20"/>
          <w:spacing w:val="-3"/>
        </w:rPr>
        <w:t xml:space="preserve"> </w:t>
      </w:r>
      <w:r>
        <w:rPr>
          <w:color w:val="231F20"/>
        </w:rPr>
        <w:t>de</w:t>
      </w:r>
      <w:r>
        <w:rPr>
          <w:color w:val="231F20"/>
          <w:spacing w:val="-3"/>
        </w:rPr>
        <w:t xml:space="preserve"> </w:t>
      </w:r>
      <w:r>
        <w:rPr>
          <w:color w:val="231F20"/>
        </w:rPr>
        <w:t xml:space="preserve">congé maternité. Le salaire doit être majoré des augmentations générales ainsi que de la moyenne des augmentations individuelles perçues pendant la durée du congé par </w:t>
      </w:r>
      <w:r>
        <w:rPr>
          <w:color w:val="231F20"/>
          <w:spacing w:val="-2"/>
        </w:rPr>
        <w:t>les</w:t>
      </w:r>
      <w:r>
        <w:rPr>
          <w:color w:val="231F20"/>
          <w:spacing w:val="-8"/>
        </w:rPr>
        <w:t xml:space="preserve"> </w:t>
      </w:r>
      <w:r>
        <w:rPr>
          <w:color w:val="231F20"/>
          <w:spacing w:val="-2"/>
        </w:rPr>
        <w:t>salariés</w:t>
      </w:r>
      <w:r>
        <w:rPr>
          <w:color w:val="231F20"/>
          <w:spacing w:val="-8"/>
        </w:rPr>
        <w:t xml:space="preserve"> </w:t>
      </w:r>
      <w:r>
        <w:rPr>
          <w:color w:val="231F20"/>
          <w:spacing w:val="-2"/>
        </w:rPr>
        <w:t>relevant</w:t>
      </w:r>
      <w:r>
        <w:rPr>
          <w:color w:val="231F20"/>
          <w:spacing w:val="-8"/>
        </w:rPr>
        <w:t xml:space="preserve"> </w:t>
      </w:r>
      <w:r>
        <w:rPr>
          <w:color w:val="231F20"/>
          <w:spacing w:val="-2"/>
        </w:rPr>
        <w:t>de</w:t>
      </w:r>
      <w:r>
        <w:rPr>
          <w:color w:val="231F20"/>
          <w:spacing w:val="-8"/>
        </w:rPr>
        <w:t xml:space="preserve"> </w:t>
      </w:r>
      <w:r>
        <w:rPr>
          <w:color w:val="231F20"/>
          <w:spacing w:val="-2"/>
        </w:rPr>
        <w:t>la</w:t>
      </w:r>
      <w:r>
        <w:rPr>
          <w:color w:val="231F20"/>
          <w:spacing w:val="-8"/>
        </w:rPr>
        <w:t xml:space="preserve"> </w:t>
      </w:r>
      <w:r>
        <w:rPr>
          <w:color w:val="231F20"/>
          <w:spacing w:val="-2"/>
        </w:rPr>
        <w:t>même</w:t>
      </w:r>
      <w:r>
        <w:rPr>
          <w:color w:val="231F20"/>
          <w:spacing w:val="-8"/>
        </w:rPr>
        <w:t xml:space="preserve"> </w:t>
      </w:r>
      <w:r>
        <w:rPr>
          <w:color w:val="231F20"/>
          <w:spacing w:val="-2"/>
        </w:rPr>
        <w:t>catégorie</w:t>
      </w:r>
      <w:r>
        <w:rPr>
          <w:color w:val="231F20"/>
          <w:spacing w:val="-8"/>
        </w:rPr>
        <w:t xml:space="preserve"> </w:t>
      </w:r>
      <w:r>
        <w:rPr>
          <w:color w:val="231F20"/>
          <w:spacing w:val="-2"/>
        </w:rPr>
        <w:t>professionnelle</w:t>
      </w:r>
      <w:r>
        <w:rPr>
          <w:color w:val="231F20"/>
          <w:spacing w:val="-8"/>
        </w:rPr>
        <w:t xml:space="preserve"> </w:t>
      </w:r>
      <w:r>
        <w:rPr>
          <w:color w:val="231F20"/>
          <w:spacing w:val="-2"/>
        </w:rPr>
        <w:t>ou,</w:t>
      </w:r>
      <w:r>
        <w:rPr>
          <w:color w:val="231F20"/>
          <w:spacing w:val="-8"/>
        </w:rPr>
        <w:t xml:space="preserve"> </w:t>
      </w:r>
      <w:r>
        <w:rPr>
          <w:color w:val="231F20"/>
          <w:spacing w:val="-2"/>
        </w:rPr>
        <w:t>à</w:t>
      </w:r>
      <w:r>
        <w:rPr>
          <w:color w:val="231F20"/>
          <w:spacing w:val="-8"/>
        </w:rPr>
        <w:t xml:space="preserve"> </w:t>
      </w:r>
      <w:r>
        <w:rPr>
          <w:color w:val="231F20"/>
          <w:spacing w:val="-2"/>
        </w:rPr>
        <w:t>défaut,</w:t>
      </w:r>
      <w:r>
        <w:rPr>
          <w:color w:val="231F20"/>
          <w:spacing w:val="-8"/>
        </w:rPr>
        <w:t xml:space="preserve"> </w:t>
      </w:r>
      <w:r>
        <w:rPr>
          <w:color w:val="231F20"/>
          <w:spacing w:val="-2"/>
        </w:rPr>
        <w:t>de</w:t>
      </w:r>
      <w:r>
        <w:rPr>
          <w:color w:val="231F20"/>
          <w:spacing w:val="-8"/>
        </w:rPr>
        <w:t xml:space="preserve"> </w:t>
      </w:r>
      <w:r>
        <w:rPr>
          <w:color w:val="231F20"/>
          <w:spacing w:val="-2"/>
        </w:rPr>
        <w:t>la</w:t>
      </w:r>
      <w:r>
        <w:rPr>
          <w:color w:val="231F20"/>
          <w:spacing w:val="-8"/>
        </w:rPr>
        <w:t xml:space="preserve"> </w:t>
      </w:r>
      <w:r>
        <w:rPr>
          <w:color w:val="231F20"/>
          <w:spacing w:val="-2"/>
        </w:rPr>
        <w:t xml:space="preserve">moyenne </w:t>
      </w:r>
      <w:r>
        <w:rPr>
          <w:color w:val="231F20"/>
        </w:rPr>
        <w:t>des augmentations individuelles dans l’entreprise.</w:t>
      </w:r>
    </w:p>
    <w:p w14:paraId="07782D51" w14:textId="7520878B" w:rsidR="00AF11FD" w:rsidRDefault="0001355C">
      <w:pPr>
        <w:pStyle w:val="Corpsdetexte"/>
        <w:ind w:left="2628" w:right="636"/>
        <w:jc w:val="both"/>
      </w:pPr>
      <w:r>
        <w:rPr>
          <w:color w:val="231F20"/>
        </w:rPr>
        <w:t xml:space="preserve">Les écarts de situation entre les femmes et les hommes restent encore trop partiellement traités dans les entreprises malgré une réglementation importante leur imposant de conduire des démarches pour réduire ces écarts et parvenir à une réelle </w:t>
      </w:r>
      <w:r>
        <w:rPr>
          <w:color w:val="231F20"/>
          <w:spacing w:val="-2"/>
        </w:rPr>
        <w:t>égalité.</w:t>
      </w:r>
      <w:r w:rsidR="00F63A72" w:rsidRPr="00F63A72">
        <w:rPr>
          <w:noProof/>
          <w:color w:val="231F20"/>
        </w:rPr>
        <w:t xml:space="preserve"> </w:t>
      </w:r>
    </w:p>
    <w:p w14:paraId="286F2E68" w14:textId="77777777" w:rsidR="00AF11FD" w:rsidRDefault="0001355C">
      <w:pPr>
        <w:pStyle w:val="Corpsdetexte"/>
        <w:ind w:left="2628" w:right="637"/>
        <w:jc w:val="both"/>
      </w:pPr>
      <w:r>
        <w:rPr>
          <w:color w:val="231F20"/>
        </w:rPr>
        <w:t>Dans beaucoup de secteurs majoritairement occupés par des femmes, on retrouve des emplois précaires et du temps partiels subi.</w:t>
      </w:r>
    </w:p>
    <w:p w14:paraId="4C54052D" w14:textId="5BE04A54" w:rsidR="00AF11FD" w:rsidRDefault="0001355C">
      <w:pPr>
        <w:pStyle w:val="Corpsdetexte"/>
        <w:ind w:left="2628" w:right="637"/>
        <w:jc w:val="both"/>
      </w:pPr>
      <w:r>
        <w:rPr>
          <w:color w:val="231F20"/>
        </w:rPr>
        <w:t>Les indicateurs relatifs aux conditions d’emploi (niveau de salaire, statut, temps de travail) sont généralement connus, mais pas forcément faciles à mettre en perspe</w:t>
      </w:r>
      <w:r w:rsidR="00F63A72">
        <w:rPr>
          <w:color w:val="231F20"/>
        </w:rPr>
        <w:t>c</w:t>
      </w:r>
      <w:r>
        <w:rPr>
          <w:color w:val="231F20"/>
        </w:rPr>
        <w:t>tive</w:t>
      </w:r>
      <w:r>
        <w:rPr>
          <w:color w:val="231F20"/>
          <w:spacing w:val="-3"/>
        </w:rPr>
        <w:t xml:space="preserve"> </w:t>
      </w:r>
      <w:r>
        <w:rPr>
          <w:color w:val="231F20"/>
        </w:rPr>
        <w:t>pour</w:t>
      </w:r>
      <w:r>
        <w:rPr>
          <w:color w:val="231F20"/>
          <w:spacing w:val="-3"/>
        </w:rPr>
        <w:t xml:space="preserve"> </w:t>
      </w:r>
      <w:r>
        <w:rPr>
          <w:color w:val="231F20"/>
        </w:rPr>
        <w:t>corriger</w:t>
      </w:r>
      <w:r>
        <w:rPr>
          <w:color w:val="231F20"/>
          <w:spacing w:val="-3"/>
        </w:rPr>
        <w:t xml:space="preserve"> </w:t>
      </w:r>
      <w:r>
        <w:rPr>
          <w:color w:val="231F20"/>
        </w:rPr>
        <w:t>les</w:t>
      </w:r>
      <w:r>
        <w:rPr>
          <w:color w:val="231F20"/>
          <w:spacing w:val="-3"/>
        </w:rPr>
        <w:t xml:space="preserve"> </w:t>
      </w:r>
      <w:r>
        <w:rPr>
          <w:color w:val="231F20"/>
        </w:rPr>
        <w:t>inégalités.</w:t>
      </w:r>
      <w:r>
        <w:rPr>
          <w:color w:val="231F20"/>
          <w:spacing w:val="-3"/>
        </w:rPr>
        <w:t xml:space="preserve"> </w:t>
      </w:r>
      <w:r>
        <w:rPr>
          <w:color w:val="231F20"/>
        </w:rPr>
        <w:t>La</w:t>
      </w:r>
      <w:r>
        <w:rPr>
          <w:color w:val="231F20"/>
          <w:spacing w:val="-3"/>
        </w:rPr>
        <w:t xml:space="preserve"> </w:t>
      </w:r>
      <w:r>
        <w:rPr>
          <w:color w:val="231F20"/>
        </w:rPr>
        <w:t>CFDT</w:t>
      </w:r>
      <w:r>
        <w:rPr>
          <w:color w:val="231F20"/>
          <w:spacing w:val="-3"/>
        </w:rPr>
        <w:t xml:space="preserve"> </w:t>
      </w:r>
      <w:r>
        <w:rPr>
          <w:color w:val="231F20"/>
        </w:rPr>
        <w:t>propose</w:t>
      </w:r>
      <w:r>
        <w:rPr>
          <w:color w:val="231F20"/>
          <w:spacing w:val="-3"/>
        </w:rPr>
        <w:t xml:space="preserve"> </w:t>
      </w:r>
      <w:r>
        <w:rPr>
          <w:color w:val="231F20"/>
        </w:rPr>
        <w:t>des</w:t>
      </w:r>
      <w:r>
        <w:rPr>
          <w:color w:val="231F20"/>
          <w:spacing w:val="-3"/>
        </w:rPr>
        <w:t xml:space="preserve"> </w:t>
      </w:r>
      <w:r>
        <w:rPr>
          <w:color w:val="231F20"/>
        </w:rPr>
        <w:t>formations</w:t>
      </w:r>
      <w:r>
        <w:rPr>
          <w:color w:val="231F20"/>
          <w:spacing w:val="-3"/>
        </w:rPr>
        <w:t xml:space="preserve"> </w:t>
      </w:r>
      <w:r>
        <w:rPr>
          <w:color w:val="231F20"/>
        </w:rPr>
        <w:t>à</w:t>
      </w:r>
      <w:r>
        <w:rPr>
          <w:color w:val="231F20"/>
          <w:spacing w:val="-3"/>
        </w:rPr>
        <w:t xml:space="preserve"> </w:t>
      </w:r>
      <w:r>
        <w:rPr>
          <w:color w:val="231F20"/>
        </w:rPr>
        <w:t>ses</w:t>
      </w:r>
      <w:r>
        <w:rPr>
          <w:color w:val="231F20"/>
          <w:spacing w:val="-3"/>
        </w:rPr>
        <w:t xml:space="preserve"> </w:t>
      </w:r>
      <w:r>
        <w:rPr>
          <w:color w:val="231F20"/>
        </w:rPr>
        <w:t>équipes</w:t>
      </w:r>
      <w:r>
        <w:rPr>
          <w:color w:val="231F20"/>
          <w:spacing w:val="-3"/>
        </w:rPr>
        <w:t xml:space="preserve"> </w:t>
      </w:r>
      <w:r w:rsidR="00F63A72">
        <w:rPr>
          <w:color w:val="231F20"/>
        </w:rPr>
        <w:t>milit</w:t>
      </w:r>
      <w:r w:rsidR="00F63A72">
        <w:rPr>
          <w:color w:val="231F20"/>
          <w:spacing w:val="-2"/>
        </w:rPr>
        <w:t>antes</w:t>
      </w:r>
      <w:r>
        <w:rPr>
          <w:color w:val="231F20"/>
          <w:spacing w:val="-2"/>
        </w:rPr>
        <w:t>.</w:t>
      </w:r>
    </w:p>
    <w:p w14:paraId="4E576E6E" w14:textId="2D0158B6" w:rsidR="00AF11FD" w:rsidRDefault="0001355C">
      <w:pPr>
        <w:pStyle w:val="Corpsdetexte"/>
        <w:ind w:left="2628" w:right="637"/>
        <w:jc w:val="both"/>
      </w:pPr>
      <w:r>
        <w:rPr>
          <w:color w:val="231F20"/>
        </w:rPr>
        <w:t>Les sujets de l’égalité professionnelle (EP) sont très liés aux questions de qualité de vie (QVT) et de conditions de travail. Pour avoir une vision intégrée des différences induites sur les femmes et les hommes, pour identifier et agir contre les discriminations et faire de l’EP QVT demande de la volonté et de la méthode. Un exercice difficile</w:t>
      </w:r>
      <w:r>
        <w:rPr>
          <w:color w:val="231F20"/>
          <w:spacing w:val="-8"/>
        </w:rPr>
        <w:t xml:space="preserve"> </w:t>
      </w:r>
      <w:r>
        <w:rPr>
          <w:color w:val="231F20"/>
        </w:rPr>
        <w:t>pour</w:t>
      </w:r>
      <w:r>
        <w:rPr>
          <w:color w:val="231F20"/>
          <w:spacing w:val="-8"/>
        </w:rPr>
        <w:t xml:space="preserve"> </w:t>
      </w:r>
      <w:r>
        <w:rPr>
          <w:color w:val="231F20"/>
        </w:rPr>
        <w:t>les</w:t>
      </w:r>
      <w:r>
        <w:rPr>
          <w:color w:val="231F20"/>
          <w:spacing w:val="-8"/>
        </w:rPr>
        <w:t xml:space="preserve"> </w:t>
      </w:r>
      <w:r>
        <w:rPr>
          <w:color w:val="231F20"/>
        </w:rPr>
        <w:t>structures</w:t>
      </w:r>
      <w:r>
        <w:rPr>
          <w:color w:val="231F20"/>
          <w:spacing w:val="-8"/>
        </w:rPr>
        <w:t xml:space="preserve"> </w:t>
      </w:r>
      <w:r>
        <w:rPr>
          <w:color w:val="231F20"/>
        </w:rPr>
        <w:t>à</w:t>
      </w:r>
      <w:r>
        <w:rPr>
          <w:color w:val="231F20"/>
          <w:spacing w:val="-8"/>
        </w:rPr>
        <w:t xml:space="preserve"> </w:t>
      </w:r>
      <w:r>
        <w:rPr>
          <w:color w:val="231F20"/>
        </w:rPr>
        <w:t>prédominance</w:t>
      </w:r>
      <w:r>
        <w:rPr>
          <w:color w:val="231F20"/>
          <w:spacing w:val="-8"/>
        </w:rPr>
        <w:t xml:space="preserve"> </w:t>
      </w:r>
      <w:r>
        <w:rPr>
          <w:color w:val="231F20"/>
        </w:rPr>
        <w:t>féminine</w:t>
      </w:r>
      <w:r>
        <w:rPr>
          <w:color w:val="231F20"/>
          <w:spacing w:val="-8"/>
        </w:rPr>
        <w:t xml:space="preserve"> </w:t>
      </w:r>
      <w:r>
        <w:rPr>
          <w:color w:val="231F20"/>
        </w:rPr>
        <w:t>ou</w:t>
      </w:r>
      <w:r>
        <w:rPr>
          <w:color w:val="231F20"/>
          <w:spacing w:val="-8"/>
        </w:rPr>
        <w:t xml:space="preserve"> </w:t>
      </w:r>
      <w:r>
        <w:rPr>
          <w:color w:val="231F20"/>
        </w:rPr>
        <w:t>avec</w:t>
      </w:r>
      <w:r>
        <w:rPr>
          <w:color w:val="231F20"/>
          <w:spacing w:val="-8"/>
        </w:rPr>
        <w:t xml:space="preserve"> </w:t>
      </w:r>
      <w:r>
        <w:rPr>
          <w:color w:val="231F20"/>
        </w:rPr>
        <w:t>un</w:t>
      </w:r>
      <w:r>
        <w:rPr>
          <w:color w:val="231F20"/>
          <w:spacing w:val="-8"/>
        </w:rPr>
        <w:t xml:space="preserve"> </w:t>
      </w:r>
      <w:r>
        <w:rPr>
          <w:color w:val="231F20"/>
        </w:rPr>
        <w:t>petit</w:t>
      </w:r>
      <w:r>
        <w:rPr>
          <w:color w:val="231F20"/>
          <w:spacing w:val="-8"/>
        </w:rPr>
        <w:t xml:space="preserve"> </w:t>
      </w:r>
      <w:r>
        <w:rPr>
          <w:color w:val="231F20"/>
        </w:rPr>
        <w:t>d’effectif.</w:t>
      </w:r>
      <w:r>
        <w:rPr>
          <w:color w:val="231F20"/>
          <w:spacing w:val="-8"/>
        </w:rPr>
        <w:t xml:space="preserve"> </w:t>
      </w:r>
      <w:r>
        <w:rPr>
          <w:color w:val="231F20"/>
        </w:rPr>
        <w:t>Elles composent la majorité des entreprises en Occitanie.</w:t>
      </w:r>
    </w:p>
    <w:p w14:paraId="0B345F0F" w14:textId="77777777" w:rsidR="00AF11FD" w:rsidRDefault="0001355C">
      <w:pPr>
        <w:spacing w:line="293" w:lineRule="exact"/>
        <w:ind w:left="3401"/>
        <w:jc w:val="both"/>
        <w:rPr>
          <w:b/>
          <w:sz w:val="24"/>
        </w:rPr>
      </w:pPr>
      <w:r>
        <w:rPr>
          <w:noProof/>
        </w:rPr>
        <w:drawing>
          <wp:anchor distT="0" distB="0" distL="0" distR="0" simplePos="0" relativeHeight="251657216" behindDoc="0" locked="0" layoutInCell="1" allowOverlap="1" wp14:anchorId="48C29C38" wp14:editId="6CEFD919">
            <wp:simplePos x="0" y="0"/>
            <wp:positionH relativeFrom="page">
              <wp:posOffset>416445</wp:posOffset>
            </wp:positionH>
            <wp:positionV relativeFrom="paragraph">
              <wp:posOffset>34001</wp:posOffset>
            </wp:positionV>
            <wp:extent cx="1753866" cy="2519997"/>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6" cstate="print"/>
                    <a:stretch>
                      <a:fillRect/>
                    </a:stretch>
                  </pic:blipFill>
                  <pic:spPr>
                    <a:xfrm>
                      <a:off x="0" y="0"/>
                      <a:ext cx="1753866" cy="2519997"/>
                    </a:xfrm>
                    <a:prstGeom prst="rect">
                      <a:avLst/>
                    </a:prstGeom>
                  </pic:spPr>
                </pic:pic>
              </a:graphicData>
            </a:graphic>
          </wp:anchor>
        </w:drawing>
      </w:r>
      <w:r>
        <w:rPr>
          <w:b/>
          <w:color w:val="6F1F58"/>
          <w:sz w:val="24"/>
        </w:rPr>
        <w:t>DE</w:t>
      </w:r>
      <w:r>
        <w:rPr>
          <w:b/>
          <w:color w:val="6F1F58"/>
          <w:spacing w:val="17"/>
          <w:sz w:val="24"/>
        </w:rPr>
        <w:t xml:space="preserve"> </w:t>
      </w:r>
      <w:r>
        <w:rPr>
          <w:b/>
          <w:color w:val="6F1F58"/>
          <w:sz w:val="24"/>
        </w:rPr>
        <w:t>MEILLEURS</w:t>
      </w:r>
      <w:r>
        <w:rPr>
          <w:b/>
          <w:color w:val="6F1F58"/>
          <w:spacing w:val="17"/>
          <w:sz w:val="24"/>
        </w:rPr>
        <w:t xml:space="preserve"> </w:t>
      </w:r>
      <w:r>
        <w:rPr>
          <w:b/>
          <w:color w:val="6F1F58"/>
          <w:sz w:val="24"/>
        </w:rPr>
        <w:t>SALAIRES</w:t>
      </w:r>
      <w:r>
        <w:rPr>
          <w:b/>
          <w:color w:val="6F1F58"/>
          <w:spacing w:val="18"/>
          <w:sz w:val="24"/>
        </w:rPr>
        <w:t xml:space="preserve"> </w:t>
      </w:r>
      <w:r>
        <w:rPr>
          <w:b/>
          <w:color w:val="6F1F58"/>
          <w:sz w:val="24"/>
        </w:rPr>
        <w:t>POUR</w:t>
      </w:r>
      <w:r>
        <w:rPr>
          <w:b/>
          <w:color w:val="6F1F58"/>
          <w:spacing w:val="17"/>
          <w:sz w:val="24"/>
        </w:rPr>
        <w:t xml:space="preserve"> </w:t>
      </w:r>
      <w:r>
        <w:rPr>
          <w:b/>
          <w:color w:val="6F1F58"/>
          <w:sz w:val="24"/>
        </w:rPr>
        <w:t>LES</w:t>
      </w:r>
      <w:r>
        <w:rPr>
          <w:b/>
          <w:color w:val="6F1F58"/>
          <w:spacing w:val="17"/>
          <w:sz w:val="24"/>
        </w:rPr>
        <w:t xml:space="preserve"> </w:t>
      </w:r>
      <w:r>
        <w:rPr>
          <w:b/>
          <w:color w:val="6F1F58"/>
          <w:sz w:val="24"/>
        </w:rPr>
        <w:t>FEMMES,</w:t>
      </w:r>
      <w:r>
        <w:rPr>
          <w:b/>
          <w:color w:val="6F1F58"/>
          <w:spacing w:val="15"/>
          <w:sz w:val="24"/>
        </w:rPr>
        <w:t xml:space="preserve"> </w:t>
      </w:r>
      <w:r>
        <w:rPr>
          <w:b/>
          <w:color w:val="6F1F58"/>
          <w:sz w:val="24"/>
        </w:rPr>
        <w:t>GRÂCE</w:t>
      </w:r>
      <w:r>
        <w:rPr>
          <w:b/>
          <w:color w:val="6F1F58"/>
          <w:spacing w:val="17"/>
          <w:sz w:val="24"/>
        </w:rPr>
        <w:t xml:space="preserve"> </w:t>
      </w:r>
      <w:r>
        <w:rPr>
          <w:b/>
          <w:color w:val="6F1F58"/>
          <w:sz w:val="24"/>
        </w:rPr>
        <w:t>À</w:t>
      </w:r>
      <w:r>
        <w:rPr>
          <w:b/>
          <w:color w:val="6F1F58"/>
          <w:spacing w:val="18"/>
          <w:sz w:val="24"/>
        </w:rPr>
        <w:t xml:space="preserve"> </w:t>
      </w:r>
      <w:r>
        <w:rPr>
          <w:b/>
          <w:color w:val="6F1F58"/>
          <w:sz w:val="24"/>
        </w:rPr>
        <w:t>L'EUROPE</w:t>
      </w:r>
      <w:r>
        <w:rPr>
          <w:b/>
          <w:color w:val="6F1F58"/>
          <w:spacing w:val="15"/>
          <w:sz w:val="24"/>
        </w:rPr>
        <w:t xml:space="preserve"> </w:t>
      </w:r>
      <w:r>
        <w:rPr>
          <w:b/>
          <w:color w:val="6F1F58"/>
          <w:spacing w:val="-10"/>
          <w:sz w:val="24"/>
        </w:rPr>
        <w:t>!</w:t>
      </w:r>
    </w:p>
    <w:p w14:paraId="732F87E8" w14:textId="5A6126A7" w:rsidR="00AF11FD" w:rsidRDefault="0001355C">
      <w:pPr>
        <w:pStyle w:val="Corpsdetexte"/>
        <w:ind w:left="3398" w:right="637"/>
        <w:jc w:val="both"/>
      </w:pPr>
      <w:r>
        <w:rPr>
          <w:color w:val="231F20"/>
        </w:rPr>
        <w:t>En</w:t>
      </w:r>
      <w:r>
        <w:rPr>
          <w:color w:val="231F20"/>
          <w:spacing w:val="30"/>
        </w:rPr>
        <w:t xml:space="preserve"> </w:t>
      </w:r>
      <w:r>
        <w:rPr>
          <w:color w:val="231F20"/>
        </w:rPr>
        <w:t>mai</w:t>
      </w:r>
      <w:r>
        <w:rPr>
          <w:color w:val="231F20"/>
          <w:spacing w:val="30"/>
        </w:rPr>
        <w:t xml:space="preserve"> </w:t>
      </w:r>
      <w:r>
        <w:rPr>
          <w:color w:val="231F20"/>
        </w:rPr>
        <w:t>2023,</w:t>
      </w:r>
      <w:r>
        <w:rPr>
          <w:color w:val="231F20"/>
          <w:spacing w:val="30"/>
        </w:rPr>
        <w:t xml:space="preserve"> </w:t>
      </w:r>
      <w:r>
        <w:rPr>
          <w:color w:val="231F20"/>
        </w:rPr>
        <w:t>l'Union</w:t>
      </w:r>
      <w:r>
        <w:rPr>
          <w:color w:val="231F20"/>
          <w:spacing w:val="30"/>
        </w:rPr>
        <w:t xml:space="preserve"> </w:t>
      </w:r>
      <w:r>
        <w:rPr>
          <w:color w:val="231F20"/>
        </w:rPr>
        <w:t>européenne</w:t>
      </w:r>
      <w:r>
        <w:rPr>
          <w:color w:val="231F20"/>
          <w:spacing w:val="30"/>
        </w:rPr>
        <w:t xml:space="preserve"> </w:t>
      </w:r>
      <w:r>
        <w:rPr>
          <w:color w:val="231F20"/>
        </w:rPr>
        <w:t>a</w:t>
      </w:r>
      <w:r>
        <w:rPr>
          <w:color w:val="231F20"/>
          <w:spacing w:val="30"/>
        </w:rPr>
        <w:t xml:space="preserve"> </w:t>
      </w:r>
      <w:r>
        <w:rPr>
          <w:color w:val="231F20"/>
        </w:rPr>
        <w:t>adopté</w:t>
      </w:r>
      <w:r>
        <w:rPr>
          <w:color w:val="231F20"/>
          <w:spacing w:val="30"/>
        </w:rPr>
        <w:t xml:space="preserve"> </w:t>
      </w:r>
      <w:r>
        <w:rPr>
          <w:color w:val="231F20"/>
        </w:rPr>
        <w:t>une</w:t>
      </w:r>
      <w:r>
        <w:rPr>
          <w:color w:val="231F20"/>
          <w:spacing w:val="30"/>
        </w:rPr>
        <w:t xml:space="preserve"> </w:t>
      </w:r>
      <w:r>
        <w:rPr>
          <w:color w:val="231F20"/>
        </w:rPr>
        <w:t>directive</w:t>
      </w:r>
      <w:r>
        <w:rPr>
          <w:color w:val="231F20"/>
          <w:spacing w:val="30"/>
        </w:rPr>
        <w:t xml:space="preserve"> </w:t>
      </w:r>
      <w:r>
        <w:rPr>
          <w:color w:val="231F20"/>
        </w:rPr>
        <w:t>européenne</w:t>
      </w:r>
      <w:r>
        <w:rPr>
          <w:color w:val="231F20"/>
          <w:spacing w:val="30"/>
        </w:rPr>
        <w:t xml:space="preserve"> </w:t>
      </w:r>
      <w:r>
        <w:rPr>
          <w:color w:val="231F20"/>
        </w:rPr>
        <w:t xml:space="preserve">sur la transparence des </w:t>
      </w:r>
      <w:r>
        <w:rPr>
          <w:color w:val="231F20"/>
        </w:rPr>
        <w:t>rémunérations</w:t>
      </w:r>
      <w:r>
        <w:rPr>
          <w:color w:val="231F20"/>
          <w:spacing w:val="-3"/>
        </w:rPr>
        <w:t xml:space="preserve"> </w:t>
      </w:r>
      <w:r>
        <w:rPr>
          <w:color w:val="231F20"/>
        </w:rPr>
        <w:t>; elle prévoit que les entreprises de l'UE seront tenues de partager des informations sur le montant qu'elles versent aux femmes et aux hommes pour un travail de même valeur et de prendre des mesures si leur écart de rémunération entre les femmes et les hommes dépasse</w:t>
      </w:r>
      <w:r>
        <w:rPr>
          <w:color w:val="231F20"/>
          <w:spacing w:val="-11"/>
        </w:rPr>
        <w:t xml:space="preserve"> </w:t>
      </w:r>
      <w:r>
        <w:rPr>
          <w:color w:val="231F20"/>
        </w:rPr>
        <w:t>5</w:t>
      </w:r>
      <w:r>
        <w:rPr>
          <w:color w:val="231F20"/>
          <w:spacing w:val="-11"/>
        </w:rPr>
        <w:t xml:space="preserve"> </w:t>
      </w:r>
      <w:r>
        <w:rPr>
          <w:color w:val="231F20"/>
        </w:rPr>
        <w:t>%.</w:t>
      </w:r>
      <w:r>
        <w:rPr>
          <w:color w:val="231F20"/>
          <w:spacing w:val="-11"/>
        </w:rPr>
        <w:t xml:space="preserve"> </w:t>
      </w:r>
      <w:r>
        <w:rPr>
          <w:color w:val="231F20"/>
        </w:rPr>
        <w:t>La</w:t>
      </w:r>
      <w:r>
        <w:rPr>
          <w:color w:val="231F20"/>
          <w:spacing w:val="-11"/>
        </w:rPr>
        <w:t xml:space="preserve"> </w:t>
      </w:r>
      <w:r>
        <w:rPr>
          <w:color w:val="231F20"/>
        </w:rPr>
        <w:t>nouvelle</w:t>
      </w:r>
      <w:r>
        <w:rPr>
          <w:color w:val="231F20"/>
          <w:spacing w:val="-11"/>
        </w:rPr>
        <w:t xml:space="preserve"> </w:t>
      </w:r>
      <w:r>
        <w:rPr>
          <w:color w:val="231F20"/>
        </w:rPr>
        <w:t>directive</w:t>
      </w:r>
      <w:r>
        <w:rPr>
          <w:color w:val="231F20"/>
          <w:spacing w:val="-11"/>
        </w:rPr>
        <w:t xml:space="preserve"> </w:t>
      </w:r>
      <w:r>
        <w:rPr>
          <w:color w:val="231F20"/>
        </w:rPr>
        <w:t>comprend</w:t>
      </w:r>
      <w:r>
        <w:rPr>
          <w:color w:val="231F20"/>
          <w:spacing w:val="-11"/>
        </w:rPr>
        <w:t xml:space="preserve"> </w:t>
      </w:r>
      <w:r>
        <w:rPr>
          <w:color w:val="231F20"/>
        </w:rPr>
        <w:t>également</w:t>
      </w:r>
      <w:r>
        <w:rPr>
          <w:color w:val="231F20"/>
          <w:spacing w:val="-11"/>
        </w:rPr>
        <w:t xml:space="preserve"> </w:t>
      </w:r>
      <w:r>
        <w:rPr>
          <w:color w:val="231F20"/>
        </w:rPr>
        <w:t>des</w:t>
      </w:r>
      <w:r>
        <w:rPr>
          <w:color w:val="231F20"/>
          <w:spacing w:val="-11"/>
        </w:rPr>
        <w:t xml:space="preserve"> </w:t>
      </w:r>
      <w:r>
        <w:rPr>
          <w:color w:val="231F20"/>
        </w:rPr>
        <w:t>dispositions</w:t>
      </w:r>
      <w:r>
        <w:rPr>
          <w:color w:val="231F20"/>
          <w:spacing w:val="-11"/>
        </w:rPr>
        <w:t xml:space="preserve"> </w:t>
      </w:r>
      <w:r>
        <w:rPr>
          <w:color w:val="231F20"/>
        </w:rPr>
        <w:t>sur l'indemnisation des victimes de discrimination salariale ainsi que des sanc</w:t>
      </w:r>
      <w:r>
        <w:rPr>
          <w:color w:val="231F20"/>
          <w:spacing w:val="-2"/>
        </w:rPr>
        <w:t>tions,</w:t>
      </w:r>
      <w:r>
        <w:rPr>
          <w:color w:val="231F20"/>
          <w:spacing w:val="-4"/>
        </w:rPr>
        <w:t xml:space="preserve"> </w:t>
      </w:r>
      <w:r>
        <w:rPr>
          <w:color w:val="231F20"/>
          <w:spacing w:val="-2"/>
        </w:rPr>
        <w:t>y</w:t>
      </w:r>
      <w:r>
        <w:rPr>
          <w:color w:val="231F20"/>
          <w:spacing w:val="-4"/>
        </w:rPr>
        <w:t xml:space="preserve"> </w:t>
      </w:r>
      <w:r>
        <w:rPr>
          <w:color w:val="231F20"/>
          <w:spacing w:val="-2"/>
        </w:rPr>
        <w:t>compris</w:t>
      </w:r>
      <w:r>
        <w:rPr>
          <w:color w:val="231F20"/>
          <w:spacing w:val="-4"/>
        </w:rPr>
        <w:t xml:space="preserve"> </w:t>
      </w:r>
      <w:r>
        <w:rPr>
          <w:color w:val="231F20"/>
          <w:spacing w:val="-2"/>
        </w:rPr>
        <w:t>des</w:t>
      </w:r>
      <w:r>
        <w:rPr>
          <w:color w:val="231F20"/>
          <w:spacing w:val="-4"/>
        </w:rPr>
        <w:t xml:space="preserve"> </w:t>
      </w:r>
      <w:r>
        <w:rPr>
          <w:color w:val="231F20"/>
          <w:spacing w:val="-2"/>
        </w:rPr>
        <w:t>amendes,</w:t>
      </w:r>
      <w:r>
        <w:rPr>
          <w:color w:val="231F20"/>
          <w:spacing w:val="-4"/>
        </w:rPr>
        <w:t xml:space="preserve"> </w:t>
      </w:r>
      <w:r>
        <w:rPr>
          <w:color w:val="231F20"/>
          <w:spacing w:val="-2"/>
        </w:rPr>
        <w:t>pour</w:t>
      </w:r>
      <w:r>
        <w:rPr>
          <w:color w:val="231F20"/>
          <w:spacing w:val="-4"/>
        </w:rPr>
        <w:t xml:space="preserve"> </w:t>
      </w:r>
      <w:r>
        <w:rPr>
          <w:color w:val="231F20"/>
          <w:spacing w:val="-2"/>
        </w:rPr>
        <w:t>les</w:t>
      </w:r>
      <w:r>
        <w:rPr>
          <w:color w:val="231F20"/>
          <w:spacing w:val="-4"/>
        </w:rPr>
        <w:t xml:space="preserve"> </w:t>
      </w:r>
      <w:r>
        <w:rPr>
          <w:color w:val="231F20"/>
          <w:spacing w:val="-2"/>
        </w:rPr>
        <w:t>employeurs</w:t>
      </w:r>
      <w:r>
        <w:rPr>
          <w:color w:val="231F20"/>
          <w:spacing w:val="-4"/>
        </w:rPr>
        <w:t xml:space="preserve"> </w:t>
      </w:r>
      <w:r>
        <w:rPr>
          <w:color w:val="231F20"/>
          <w:spacing w:val="-2"/>
        </w:rPr>
        <w:t>qui</w:t>
      </w:r>
      <w:r>
        <w:rPr>
          <w:color w:val="231F20"/>
          <w:spacing w:val="-4"/>
        </w:rPr>
        <w:t xml:space="preserve"> </w:t>
      </w:r>
      <w:r>
        <w:rPr>
          <w:color w:val="231F20"/>
          <w:spacing w:val="-2"/>
        </w:rPr>
        <w:t>enfreignent</w:t>
      </w:r>
      <w:r>
        <w:rPr>
          <w:color w:val="231F20"/>
          <w:spacing w:val="-4"/>
        </w:rPr>
        <w:t xml:space="preserve"> </w:t>
      </w:r>
      <w:r>
        <w:rPr>
          <w:color w:val="231F20"/>
          <w:spacing w:val="-2"/>
        </w:rPr>
        <w:t>les</w:t>
      </w:r>
      <w:r>
        <w:rPr>
          <w:color w:val="231F20"/>
          <w:spacing w:val="-4"/>
        </w:rPr>
        <w:t xml:space="preserve"> </w:t>
      </w:r>
      <w:r>
        <w:rPr>
          <w:color w:val="231F20"/>
          <w:spacing w:val="-2"/>
        </w:rPr>
        <w:t xml:space="preserve">règles. </w:t>
      </w:r>
      <w:r>
        <w:rPr>
          <w:color w:val="231F20"/>
        </w:rPr>
        <w:t xml:space="preserve">Pour la </w:t>
      </w:r>
      <w:r>
        <w:rPr>
          <w:color w:val="231F20"/>
        </w:rPr>
        <w:t>première fois, la discrimination intersectionnelle (la combinaison de multiples formes d'inégalités ou de désavantages, telles que le sexe et l'origine ethnique ou la sexualité) a été incluse dans le champ d'application des nouvelles règles. La directive contient également des dispositions garantissant la prise en compte des besoins des travailleuses handicapées.</w:t>
      </w:r>
    </w:p>
    <w:p w14:paraId="017DB7BC" w14:textId="77777777" w:rsidR="00AF11FD" w:rsidRDefault="0001355C">
      <w:pPr>
        <w:spacing w:before="143" w:line="232" w:lineRule="auto"/>
        <w:ind w:left="2632" w:right="530" w:hanging="1"/>
        <w:jc w:val="both"/>
        <w:rPr>
          <w:b/>
          <w:sz w:val="34"/>
        </w:rPr>
      </w:pPr>
      <w:r>
        <w:rPr>
          <w:b/>
          <w:color w:val="57489D"/>
          <w:sz w:val="34"/>
        </w:rPr>
        <w:t xml:space="preserve">LA </w:t>
      </w:r>
      <w:r>
        <w:rPr>
          <w:b/>
          <w:color w:val="EA5B0B"/>
          <w:sz w:val="34"/>
        </w:rPr>
        <w:t xml:space="preserve">CFDT </w:t>
      </w:r>
      <w:r>
        <w:rPr>
          <w:b/>
          <w:color w:val="57489D"/>
          <w:sz w:val="34"/>
        </w:rPr>
        <w:t>SE BAT TOUS LES JOURS POUR L’ÉGALITÉ DE TOUTES ET TOUS !</w:t>
      </w:r>
    </w:p>
    <w:p w14:paraId="4EFE62DD" w14:textId="77777777" w:rsidR="00AF11FD" w:rsidRDefault="0001355C">
      <w:pPr>
        <w:spacing w:line="410" w:lineRule="exact"/>
        <w:ind w:left="2632"/>
        <w:jc w:val="both"/>
        <w:rPr>
          <w:b/>
          <w:color w:val="EA5B0B"/>
          <w:spacing w:val="-10"/>
          <w:sz w:val="34"/>
        </w:rPr>
      </w:pPr>
      <w:r>
        <w:rPr>
          <w:b/>
          <w:color w:val="EA5B0B"/>
          <w:sz w:val="34"/>
        </w:rPr>
        <w:t>AGISSEZ</w:t>
      </w:r>
      <w:r>
        <w:rPr>
          <w:b/>
          <w:color w:val="EA5B0B"/>
          <w:spacing w:val="15"/>
          <w:sz w:val="34"/>
        </w:rPr>
        <w:t xml:space="preserve"> </w:t>
      </w:r>
      <w:r>
        <w:rPr>
          <w:b/>
          <w:color w:val="EA5B0B"/>
          <w:sz w:val="34"/>
        </w:rPr>
        <w:t>AVEC</w:t>
      </w:r>
      <w:r>
        <w:rPr>
          <w:b/>
          <w:color w:val="EA5B0B"/>
          <w:spacing w:val="1"/>
          <w:sz w:val="34"/>
        </w:rPr>
        <w:t xml:space="preserve"> </w:t>
      </w:r>
      <w:r>
        <w:rPr>
          <w:b/>
          <w:color w:val="EA5B0B"/>
          <w:sz w:val="34"/>
        </w:rPr>
        <w:t>VOS</w:t>
      </w:r>
      <w:r>
        <w:rPr>
          <w:b/>
          <w:color w:val="EA5B0B"/>
          <w:spacing w:val="15"/>
          <w:sz w:val="34"/>
        </w:rPr>
        <w:t xml:space="preserve"> </w:t>
      </w:r>
      <w:r>
        <w:rPr>
          <w:b/>
          <w:color w:val="EA5B0B"/>
          <w:sz w:val="34"/>
        </w:rPr>
        <w:t>ÉLU·ES</w:t>
      </w:r>
      <w:r>
        <w:rPr>
          <w:b/>
          <w:color w:val="EA5B0B"/>
          <w:spacing w:val="15"/>
          <w:sz w:val="34"/>
        </w:rPr>
        <w:t xml:space="preserve"> </w:t>
      </w:r>
      <w:r>
        <w:rPr>
          <w:b/>
          <w:color w:val="EA5B0B"/>
          <w:sz w:val="34"/>
        </w:rPr>
        <w:t>AU</w:t>
      </w:r>
      <w:r>
        <w:rPr>
          <w:b/>
          <w:color w:val="EA5B0B"/>
          <w:spacing w:val="1"/>
          <w:sz w:val="34"/>
        </w:rPr>
        <w:t xml:space="preserve"> </w:t>
      </w:r>
      <w:r>
        <w:rPr>
          <w:b/>
          <w:color w:val="EA5B0B"/>
          <w:sz w:val="34"/>
        </w:rPr>
        <w:t>TRAVAIL</w:t>
      </w:r>
      <w:r>
        <w:rPr>
          <w:b/>
          <w:color w:val="EA5B0B"/>
          <w:spacing w:val="12"/>
          <w:sz w:val="34"/>
        </w:rPr>
        <w:t xml:space="preserve"> </w:t>
      </w:r>
      <w:r>
        <w:rPr>
          <w:b/>
          <w:color w:val="EA5B0B"/>
          <w:spacing w:val="-10"/>
          <w:sz w:val="34"/>
        </w:rPr>
        <w:t>!</w:t>
      </w:r>
    </w:p>
    <w:p w14:paraId="6085A047" w14:textId="77777777" w:rsidR="0001355C" w:rsidRDefault="0001355C" w:rsidP="0001355C">
      <w:pPr>
        <w:spacing w:line="410" w:lineRule="exact"/>
        <w:ind w:left="2632"/>
        <w:jc w:val="both"/>
        <w:rPr>
          <w:b/>
          <w:sz w:val="34"/>
        </w:rPr>
      </w:pPr>
      <w:r>
        <w:rPr>
          <w:b/>
          <w:sz w:val="24"/>
        </w:rPr>
        <w:t>Contacts :</w:t>
      </w:r>
    </w:p>
    <w:p w14:paraId="53A0F28B" w14:textId="77777777" w:rsidR="0001355C" w:rsidRDefault="0001355C">
      <w:pPr>
        <w:spacing w:line="410" w:lineRule="exact"/>
        <w:ind w:left="2632"/>
        <w:jc w:val="both"/>
        <w:rPr>
          <w:b/>
          <w:sz w:val="34"/>
        </w:rPr>
      </w:pPr>
    </w:p>
    <w:sectPr w:rsidR="0001355C">
      <w:pgSz w:w="11910" w:h="16840"/>
      <w:pgMar w:top="440" w:right="80" w:bottom="280" w:left="2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w:altName w:val="Myriad Pro"/>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AF11FD"/>
    <w:rsid w:val="0001355C"/>
    <w:rsid w:val="00182353"/>
    <w:rsid w:val="00AF11FD"/>
    <w:rsid w:val="00F63A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A3920"/>
  <w15:docId w15:val="{B295A402-27EF-4A37-91AF-FCE2305B9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yriad Pro" w:eastAsia="Myriad Pro" w:hAnsi="Myriad Pro" w:cs="Myriad Pro"/>
      <w:lang w:val="fr-FR"/>
    </w:rPr>
  </w:style>
  <w:style w:type="paragraph" w:styleId="Titre1">
    <w:name w:val="heading 1"/>
    <w:basedOn w:val="Normal"/>
    <w:uiPriority w:val="9"/>
    <w:qFormat/>
    <w:pPr>
      <w:spacing w:line="630" w:lineRule="exact"/>
      <w:ind w:left="2862"/>
      <w:outlineLvl w:val="0"/>
    </w:pPr>
    <w:rPr>
      <w:rFonts w:ascii="Arial" w:eastAsia="Arial" w:hAnsi="Arial" w:cs="Arial"/>
      <w:sz w:val="57"/>
      <w:szCs w:val="57"/>
    </w:rPr>
  </w:style>
  <w:style w:type="paragraph" w:styleId="Titre2">
    <w:name w:val="heading 2"/>
    <w:basedOn w:val="Normal"/>
    <w:uiPriority w:val="9"/>
    <w:unhideWhenUsed/>
    <w:qFormat/>
    <w:pPr>
      <w:spacing w:before="1"/>
      <w:ind w:left="916"/>
      <w:outlineLvl w:val="1"/>
    </w:pPr>
    <w:rPr>
      <w:rFonts w:ascii="Arial" w:eastAsia="Arial" w:hAnsi="Arial" w:cs="Arial"/>
      <w:b/>
      <w:bCs/>
      <w:sz w:val="49"/>
      <w:szCs w:val="49"/>
    </w:rPr>
  </w:style>
  <w:style w:type="paragraph" w:styleId="Titre3">
    <w:name w:val="heading 3"/>
    <w:basedOn w:val="Normal"/>
    <w:uiPriority w:val="9"/>
    <w:unhideWhenUsed/>
    <w:qFormat/>
    <w:pPr>
      <w:spacing w:before="11"/>
      <w:ind w:left="922" w:hanging="4"/>
      <w:jc w:val="both"/>
      <w:outlineLvl w:val="2"/>
    </w:pPr>
    <w:rPr>
      <w:rFonts w:ascii="Arial" w:eastAsia="Arial" w:hAnsi="Arial" w:cs="Arial"/>
      <w:sz w:val="25"/>
      <w:szCs w:val="25"/>
    </w:rPr>
  </w:style>
  <w:style w:type="paragraph" w:styleId="Titre4">
    <w:name w:val="heading 4"/>
    <w:basedOn w:val="Normal"/>
    <w:uiPriority w:val="9"/>
    <w:unhideWhenUsed/>
    <w:qFormat/>
    <w:pPr>
      <w:ind w:left="2628" w:right="638"/>
      <w:jc w:val="both"/>
      <w:outlineLvl w:val="3"/>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Titre">
    <w:name w:val="Title"/>
    <w:basedOn w:val="Normal"/>
    <w:uiPriority w:val="10"/>
    <w:qFormat/>
    <w:pPr>
      <w:spacing w:line="793" w:lineRule="exact"/>
    </w:pPr>
    <w:rPr>
      <w:rFonts w:ascii="Arial" w:eastAsia="Arial" w:hAnsi="Arial" w:cs="Arial"/>
      <w:sz w:val="71"/>
      <w:szCs w:val="71"/>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486</Words>
  <Characters>2674</Characters>
  <Application>Microsoft Office Word</Application>
  <DocSecurity>0</DocSecurity>
  <Lines>22</Lines>
  <Paragraphs>6</Paragraphs>
  <ScaleCrop>false</ScaleCrop>
  <Company/>
  <LinksUpToDate>false</LinksUpToDate>
  <CharactersWithSpaces>3154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MAUREL Loris</cp:lastModifiedBy>
  <cp:revision>3</cp:revision>
  <dcterms:created xsi:type="dcterms:W3CDTF">2024-02-26T14:38:00Z</dcterms:created>
  <dcterms:modified xsi:type="dcterms:W3CDTF">2024-02-27T14:40:00Z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2024-02-26T00:00:00Z</vt:filetime>
  </property>
  <property fmtid="{D5CDD505-2E9C-101B-9397-08002B2CF9AE}" pid="3" name="Creator">
    <vt:lpwstr>Adobe InDesign 19.2 (Windows)</vt:lpwstr>
  </property>
  <property fmtid="{D5CDD505-2E9C-101B-9397-08002B2CF9AE}" pid="4" name="LastSaved">
    <vt:filetime>2024-02-26T00:00:00Z</vt:filetime>
  </property>
  <property fmtid="{D5CDD505-2E9C-101B-9397-08002B2CF9AE}" pid="5" name="Producer">
    <vt:lpwstr>Adobe PDF Library 17.0</vt:lpwstr>
  </property>
</Properties>
</file>